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2438C" w14:textId="77777777" w:rsidR="009B503C" w:rsidRPr="009B503C" w:rsidRDefault="009B503C" w:rsidP="009B503C">
      <w:pPr>
        <w:rPr>
          <w:rFonts w:ascii="Palatino Linotype" w:hAnsi="Palatino Linotype"/>
          <w:color w:val="000000"/>
          <w:sz w:val="22"/>
          <w:szCs w:val="22"/>
        </w:rPr>
      </w:pPr>
      <w:bookmarkStart w:id="0" w:name="_Hlk90568722"/>
      <w:bookmarkStart w:id="1" w:name="_Hlk90568754"/>
      <w:bookmarkStart w:id="2" w:name="_Hlk67662047"/>
      <w:bookmarkEnd w:id="2"/>
      <w:r w:rsidRPr="009B503C">
        <w:rPr>
          <w:rFonts w:ascii="Palatino Linotype" w:hAnsi="Palatino Linotype"/>
          <w:b/>
          <w:color w:val="000000"/>
          <w:sz w:val="22"/>
          <w:szCs w:val="22"/>
        </w:rPr>
        <w:t>CONDITIONS OF QUALIFIERS:</w:t>
      </w:r>
    </w:p>
    <w:p w14:paraId="22D609C2" w14:textId="77777777" w:rsidR="009B503C" w:rsidRPr="009B503C" w:rsidRDefault="009B503C" w:rsidP="009B503C">
      <w:pPr>
        <w:rPr>
          <w:rFonts w:ascii="Palatino Linotype" w:hAnsi="Palatino Linotype"/>
          <w:color w:val="000000"/>
          <w:sz w:val="22"/>
          <w:szCs w:val="22"/>
        </w:rPr>
      </w:pPr>
      <w:r w:rsidRPr="009B503C">
        <w:rPr>
          <w:rFonts w:ascii="Palatino Linotype" w:hAnsi="Palatino Linotype"/>
          <w:color w:val="000000"/>
          <w:sz w:val="22"/>
          <w:szCs w:val="22"/>
        </w:rPr>
        <w:t> </w:t>
      </w:r>
    </w:p>
    <w:p w14:paraId="08411E4A" w14:textId="77777777" w:rsidR="009B503C" w:rsidRPr="009B503C" w:rsidRDefault="009B503C" w:rsidP="009B503C">
      <w:pPr>
        <w:rPr>
          <w:rFonts w:ascii="Palatino Linotype" w:hAnsi="Palatino Linotype"/>
          <w:color w:val="000000"/>
          <w:sz w:val="22"/>
          <w:szCs w:val="22"/>
        </w:rPr>
      </w:pPr>
      <w:r w:rsidRPr="009B503C">
        <w:rPr>
          <w:rFonts w:ascii="Palatino Linotype" w:hAnsi="Palatino Linotype"/>
          <w:color w:val="000000"/>
          <w:sz w:val="22"/>
          <w:szCs w:val="22"/>
        </w:rPr>
        <w:t xml:space="preserve">The allocation of these </w:t>
      </w:r>
      <w:r w:rsidRPr="009B503C">
        <w:rPr>
          <w:rFonts w:ascii="Palatino Linotype" w:hAnsi="Palatino Linotype"/>
          <w:b/>
          <w:color w:val="000000"/>
          <w:sz w:val="22"/>
          <w:szCs w:val="22"/>
        </w:rPr>
        <w:t xml:space="preserve">Pony, Young Rider, Children on Horses and Junior Equitation qualifiers </w:t>
      </w:r>
      <w:r w:rsidRPr="009B503C">
        <w:rPr>
          <w:rFonts w:ascii="Palatino Linotype" w:hAnsi="Palatino Linotype"/>
          <w:color w:val="000000"/>
          <w:sz w:val="22"/>
          <w:szCs w:val="22"/>
        </w:rPr>
        <w:t xml:space="preserve">is subject to your agreement to abide by the requirements and regulations as set out by the Royal Dublin Society and Showjumping Ireland </w:t>
      </w:r>
      <w:proofErr w:type="gramStart"/>
      <w:r w:rsidRPr="009B503C">
        <w:rPr>
          <w:rFonts w:ascii="Palatino Linotype" w:hAnsi="Palatino Linotype"/>
          <w:color w:val="000000"/>
          <w:sz w:val="22"/>
          <w:szCs w:val="22"/>
        </w:rPr>
        <w:t>below;</w:t>
      </w:r>
      <w:proofErr w:type="gramEnd"/>
      <w:r w:rsidRPr="009B503C">
        <w:rPr>
          <w:rFonts w:ascii="Palatino Linotype" w:hAnsi="Palatino Linotype"/>
          <w:color w:val="000000"/>
          <w:sz w:val="22"/>
          <w:szCs w:val="22"/>
        </w:rPr>
        <w:t xml:space="preserve">  </w:t>
      </w:r>
    </w:p>
    <w:p w14:paraId="4533A2F2" w14:textId="77777777" w:rsidR="009B503C" w:rsidRPr="009B503C" w:rsidRDefault="009B503C" w:rsidP="009B503C">
      <w:pPr>
        <w:rPr>
          <w:rFonts w:ascii="Palatino Linotype" w:hAnsi="Palatino Linotype"/>
          <w:color w:val="000000"/>
          <w:sz w:val="22"/>
          <w:szCs w:val="22"/>
        </w:rPr>
      </w:pPr>
      <w:r w:rsidRPr="009B503C">
        <w:rPr>
          <w:rFonts w:ascii="Palatino Linotype" w:hAnsi="Palatino Linotype"/>
          <w:color w:val="000000"/>
          <w:sz w:val="22"/>
          <w:szCs w:val="22"/>
        </w:rPr>
        <w:t> </w:t>
      </w:r>
    </w:p>
    <w:p w14:paraId="68FF023E" w14:textId="77777777" w:rsidR="009B503C" w:rsidRPr="009B503C" w:rsidRDefault="009B503C" w:rsidP="009B503C">
      <w:pPr>
        <w:numPr>
          <w:ilvl w:val="0"/>
          <w:numId w:val="3"/>
        </w:numPr>
        <w:rPr>
          <w:rFonts w:ascii="Palatino Linotype" w:hAnsi="Palatino Linotype"/>
          <w:color w:val="000000"/>
          <w:sz w:val="22"/>
          <w:szCs w:val="22"/>
        </w:rPr>
      </w:pPr>
      <w:r w:rsidRPr="009B503C">
        <w:rPr>
          <w:rFonts w:ascii="Palatino Linotype" w:hAnsi="Palatino Linotype"/>
          <w:color w:val="000000"/>
          <w:sz w:val="22"/>
          <w:szCs w:val="22"/>
        </w:rPr>
        <w:t xml:space="preserve">a road ambulance service with driver and first aid crew (to include at least one Emergency Medical Technician (EMT)), and a doctor or paramedic, to be in attendance from the beginning of warm-up to the end of the Show.   </w:t>
      </w:r>
    </w:p>
    <w:p w14:paraId="1A05E6AF" w14:textId="77777777" w:rsidR="009B503C" w:rsidRPr="009B503C" w:rsidRDefault="009B503C" w:rsidP="009B503C">
      <w:pPr>
        <w:rPr>
          <w:rFonts w:ascii="Palatino Linotype" w:hAnsi="Palatino Linotype"/>
          <w:color w:val="000000"/>
          <w:sz w:val="22"/>
          <w:szCs w:val="22"/>
        </w:rPr>
      </w:pPr>
      <w:r w:rsidRPr="009B503C">
        <w:rPr>
          <w:rFonts w:ascii="Palatino Linotype" w:hAnsi="Palatino Linotype"/>
          <w:i/>
          <w:color w:val="000000"/>
          <w:sz w:val="22"/>
          <w:szCs w:val="22"/>
        </w:rPr>
        <w:t>Please note the above are minimum requirements.  If the Show is in a rural location and at a distance from a Hospital Emergency Department / Trauma Centre, more ambulances and / or medical personnel may be required.</w:t>
      </w:r>
    </w:p>
    <w:p w14:paraId="6F6F7919" w14:textId="77777777" w:rsidR="009B503C" w:rsidRPr="009B503C" w:rsidRDefault="009B503C" w:rsidP="009B503C">
      <w:pPr>
        <w:numPr>
          <w:ilvl w:val="0"/>
          <w:numId w:val="4"/>
        </w:numPr>
        <w:rPr>
          <w:rFonts w:ascii="Palatino Linotype" w:hAnsi="Palatino Linotype"/>
          <w:color w:val="000000"/>
          <w:sz w:val="22"/>
          <w:szCs w:val="22"/>
        </w:rPr>
      </w:pPr>
      <w:r w:rsidRPr="009B503C">
        <w:rPr>
          <w:rFonts w:ascii="Palatino Linotype" w:hAnsi="Palatino Linotype"/>
          <w:color w:val="000000"/>
          <w:sz w:val="22"/>
          <w:szCs w:val="22"/>
        </w:rPr>
        <w:t xml:space="preserve">a veterinary surgeon to be present, or on-call, from the time the first animal warms-up to the end of the Show.  This vet may be the testing vet as appointed by SJI.  A minimum of one ambulance; screens and a horse ambulance / suitable mode of transport available for an injured animal, to be on site from the beginning of warm-up to the end of the Show. </w:t>
      </w:r>
    </w:p>
    <w:p w14:paraId="2285B6C2" w14:textId="77777777" w:rsidR="009B503C" w:rsidRPr="009B503C" w:rsidRDefault="009B503C" w:rsidP="009B503C">
      <w:pPr>
        <w:numPr>
          <w:ilvl w:val="0"/>
          <w:numId w:val="4"/>
        </w:numPr>
        <w:rPr>
          <w:rFonts w:ascii="Palatino Linotype" w:hAnsi="Palatino Linotype"/>
          <w:color w:val="000000"/>
          <w:sz w:val="22"/>
          <w:szCs w:val="22"/>
        </w:rPr>
      </w:pPr>
      <w:r w:rsidRPr="009B503C">
        <w:rPr>
          <w:rFonts w:ascii="Palatino Linotype" w:hAnsi="Palatino Linotype"/>
          <w:color w:val="000000"/>
          <w:sz w:val="22"/>
          <w:szCs w:val="22"/>
        </w:rPr>
        <w:t>acceptance of an RDS appointed Senior National Course Designer at an agreed fee of €300 per day (</w:t>
      </w:r>
      <w:r w:rsidRPr="009B503C">
        <w:rPr>
          <w:rFonts w:ascii="Palatino Linotype" w:hAnsi="Palatino Linotype"/>
          <w:i/>
          <w:color w:val="000000"/>
          <w:sz w:val="22"/>
          <w:szCs w:val="22"/>
        </w:rPr>
        <w:t>the fee will include time spent the previous day setting up and planning the course</w:t>
      </w:r>
      <w:r w:rsidRPr="009B503C">
        <w:rPr>
          <w:rFonts w:ascii="Palatino Linotype" w:hAnsi="Palatino Linotype"/>
          <w:color w:val="000000"/>
          <w:sz w:val="22"/>
          <w:szCs w:val="22"/>
        </w:rPr>
        <w:t>).  </w:t>
      </w:r>
    </w:p>
    <w:p w14:paraId="7EC101EC" w14:textId="77777777" w:rsidR="009B503C" w:rsidRPr="009B503C" w:rsidRDefault="009B503C" w:rsidP="009B503C">
      <w:pPr>
        <w:numPr>
          <w:ilvl w:val="0"/>
          <w:numId w:val="4"/>
        </w:numPr>
        <w:rPr>
          <w:rFonts w:ascii="Palatino Linotype" w:hAnsi="Palatino Linotype"/>
          <w:color w:val="000000"/>
          <w:sz w:val="22"/>
          <w:szCs w:val="22"/>
        </w:rPr>
      </w:pPr>
      <w:r w:rsidRPr="009B503C">
        <w:rPr>
          <w:rFonts w:ascii="Palatino Linotype" w:hAnsi="Palatino Linotype"/>
          <w:color w:val="000000"/>
          <w:sz w:val="22"/>
          <w:szCs w:val="22"/>
        </w:rPr>
        <w:t xml:space="preserve">an Assistant Course Designer should be appointed by the venue in consultation with the Senior National Course Designer.  The Assistant Course Designer must be of National Course Designer </w:t>
      </w:r>
      <w:proofErr w:type="gramStart"/>
      <w:r w:rsidRPr="009B503C">
        <w:rPr>
          <w:rFonts w:ascii="Palatino Linotype" w:hAnsi="Palatino Linotype"/>
          <w:color w:val="000000"/>
          <w:sz w:val="22"/>
          <w:szCs w:val="22"/>
        </w:rPr>
        <w:t>level</w:t>
      </w:r>
      <w:proofErr w:type="gramEnd"/>
      <w:r w:rsidRPr="009B503C">
        <w:rPr>
          <w:rFonts w:ascii="Palatino Linotype" w:hAnsi="Palatino Linotype"/>
          <w:color w:val="000000"/>
          <w:sz w:val="22"/>
          <w:szCs w:val="22"/>
        </w:rPr>
        <w:t xml:space="preserve"> and the venue / show will cover his / her expenses in full. </w:t>
      </w:r>
    </w:p>
    <w:p w14:paraId="4D73A595" w14:textId="77777777" w:rsidR="009B503C" w:rsidRPr="009B503C" w:rsidRDefault="009B503C" w:rsidP="009B503C">
      <w:pPr>
        <w:numPr>
          <w:ilvl w:val="0"/>
          <w:numId w:val="4"/>
        </w:numPr>
        <w:rPr>
          <w:rFonts w:ascii="Palatino Linotype" w:hAnsi="Palatino Linotype"/>
          <w:color w:val="000000"/>
          <w:sz w:val="22"/>
          <w:szCs w:val="22"/>
        </w:rPr>
      </w:pPr>
      <w:r w:rsidRPr="009B503C">
        <w:rPr>
          <w:rFonts w:ascii="Palatino Linotype" w:hAnsi="Palatino Linotype"/>
          <w:color w:val="000000"/>
          <w:sz w:val="22"/>
          <w:szCs w:val="22"/>
        </w:rPr>
        <w:t>one stipendiary steward for the competition arena and one additional stipendiary steward to oversee the qualifier must be employed, and their expenses to be covered by the venue / show.</w:t>
      </w:r>
    </w:p>
    <w:p w14:paraId="68A41FDD" w14:textId="77777777" w:rsidR="009B503C" w:rsidRPr="009B503C" w:rsidRDefault="009B503C" w:rsidP="009B503C">
      <w:pPr>
        <w:numPr>
          <w:ilvl w:val="0"/>
          <w:numId w:val="4"/>
        </w:numPr>
        <w:rPr>
          <w:rFonts w:ascii="Palatino Linotype" w:hAnsi="Palatino Linotype"/>
          <w:color w:val="000000"/>
          <w:sz w:val="22"/>
          <w:szCs w:val="22"/>
        </w:rPr>
      </w:pPr>
      <w:r w:rsidRPr="009B503C">
        <w:rPr>
          <w:rFonts w:ascii="Palatino Linotype" w:hAnsi="Palatino Linotype"/>
          <w:color w:val="000000"/>
          <w:sz w:val="22"/>
          <w:szCs w:val="22"/>
        </w:rPr>
        <w:t xml:space="preserve">each competition arena should have a minimum size of 3000sq m. </w:t>
      </w:r>
    </w:p>
    <w:p w14:paraId="7B676036" w14:textId="77777777" w:rsidR="009B503C" w:rsidRPr="009B503C" w:rsidRDefault="009B503C" w:rsidP="009B503C">
      <w:pPr>
        <w:numPr>
          <w:ilvl w:val="0"/>
          <w:numId w:val="4"/>
        </w:numPr>
        <w:rPr>
          <w:rFonts w:ascii="Palatino Linotype" w:hAnsi="Palatino Linotype"/>
          <w:color w:val="000000"/>
          <w:sz w:val="22"/>
          <w:szCs w:val="22"/>
        </w:rPr>
      </w:pPr>
      <w:r w:rsidRPr="009B503C">
        <w:rPr>
          <w:rFonts w:ascii="Palatino Linotype" w:hAnsi="Palatino Linotype"/>
          <w:color w:val="000000"/>
          <w:sz w:val="22"/>
          <w:szCs w:val="22"/>
        </w:rPr>
        <w:t xml:space="preserve">Showjumping Ireland has drawn up two lists of judges for the DHS Qualifiers.  The first list outlines judges, one of which must be invited to officiate at your qualifier.  The second list outlines a pool of judges from which any additional judges at your qualifier must be selected. SJI will provide the lists of judges.  SJI Live will be in operation for the qualifiers. </w:t>
      </w:r>
    </w:p>
    <w:p w14:paraId="47E2EC48" w14:textId="77777777" w:rsidR="009B503C" w:rsidRPr="009B503C" w:rsidRDefault="009B503C" w:rsidP="009B503C">
      <w:pPr>
        <w:rPr>
          <w:rFonts w:ascii="Palatino Linotype" w:hAnsi="Palatino Linotype"/>
          <w:color w:val="000000"/>
          <w:sz w:val="22"/>
          <w:szCs w:val="22"/>
        </w:rPr>
      </w:pPr>
      <w:r w:rsidRPr="009B503C">
        <w:rPr>
          <w:rFonts w:ascii="Palatino Linotype" w:hAnsi="Palatino Linotype"/>
          <w:color w:val="000000"/>
          <w:sz w:val="22"/>
          <w:szCs w:val="22"/>
        </w:rPr>
        <w:t> </w:t>
      </w:r>
    </w:p>
    <w:p w14:paraId="678F58F3" w14:textId="77777777" w:rsidR="009B503C" w:rsidRPr="009B503C" w:rsidRDefault="009B503C" w:rsidP="009B503C">
      <w:pPr>
        <w:rPr>
          <w:rFonts w:ascii="Palatino Linotype" w:hAnsi="Palatino Linotype"/>
          <w:color w:val="000000"/>
          <w:sz w:val="22"/>
          <w:szCs w:val="22"/>
        </w:rPr>
      </w:pPr>
      <w:r w:rsidRPr="009B503C">
        <w:rPr>
          <w:rFonts w:ascii="Palatino Linotype" w:hAnsi="Palatino Linotype"/>
          <w:color w:val="000000"/>
          <w:sz w:val="22"/>
          <w:szCs w:val="22"/>
        </w:rPr>
        <w:t>Showjumping Ireland will assume management of the schedule, entries and draws for all qualifiers.  SJI Head Office will contact venues to obtain arena details and a list of officials in advance.   All entries must be made through SJI Live.  Entries will close at 3pm on the Thursday preceding the qualifiers.  The close of entries will be managed by Showjumping Ireland and published on the SJI website and should be noted on your venue website also.   </w:t>
      </w:r>
      <w:r w:rsidRPr="009B503C">
        <w:rPr>
          <w:rFonts w:ascii="Palatino Linotype" w:hAnsi="Palatino Linotype"/>
          <w:color w:val="000000"/>
          <w:sz w:val="22"/>
          <w:szCs w:val="22"/>
          <w:u w:val="single"/>
        </w:rPr>
        <w:t>Under no circumstances can entries be accepted directly by the venue organiser, and only those competitors listed on the official list of entries as provided by SJI will be permitted to compete on the day</w:t>
      </w:r>
      <w:r w:rsidRPr="009B503C">
        <w:rPr>
          <w:rFonts w:ascii="Palatino Linotype" w:hAnsi="Palatino Linotype"/>
          <w:color w:val="000000"/>
          <w:sz w:val="22"/>
          <w:szCs w:val="22"/>
        </w:rPr>
        <w:t>.  </w:t>
      </w:r>
      <w:r w:rsidRPr="009B503C">
        <w:rPr>
          <w:rFonts w:ascii="Palatino Linotype" w:hAnsi="Palatino Linotype"/>
          <w:b/>
          <w:color w:val="000000"/>
          <w:sz w:val="22"/>
          <w:szCs w:val="22"/>
        </w:rPr>
        <w:t>Late entries will not be accepted under any circumstance.</w:t>
      </w:r>
      <w:r w:rsidRPr="009B503C">
        <w:rPr>
          <w:rFonts w:ascii="Palatino Linotype" w:hAnsi="Palatino Linotype"/>
          <w:color w:val="000000"/>
          <w:sz w:val="22"/>
          <w:szCs w:val="22"/>
        </w:rPr>
        <w:t xml:space="preserve">  Each competitor will be automatically allocated a competition time, and it is essential that qualifiers start as per the stated, scheduled start time.  </w:t>
      </w:r>
    </w:p>
    <w:p w14:paraId="01545778" w14:textId="77777777" w:rsidR="009B503C" w:rsidRPr="009B503C" w:rsidRDefault="009B503C" w:rsidP="009B503C">
      <w:pPr>
        <w:rPr>
          <w:rFonts w:ascii="Palatino Linotype" w:hAnsi="Palatino Linotype"/>
          <w:color w:val="000000"/>
          <w:sz w:val="22"/>
          <w:szCs w:val="22"/>
        </w:rPr>
      </w:pPr>
      <w:r w:rsidRPr="009B503C">
        <w:rPr>
          <w:rFonts w:ascii="Palatino Linotype" w:hAnsi="Palatino Linotype"/>
          <w:color w:val="000000"/>
          <w:sz w:val="22"/>
          <w:szCs w:val="22"/>
        </w:rPr>
        <w:t> </w:t>
      </w:r>
    </w:p>
    <w:p w14:paraId="1BAC4D5E" w14:textId="77777777" w:rsidR="009B503C" w:rsidRPr="009B503C" w:rsidRDefault="009B503C" w:rsidP="009B503C">
      <w:pPr>
        <w:rPr>
          <w:rFonts w:ascii="Palatino Linotype" w:hAnsi="Palatino Linotype"/>
          <w:color w:val="000000"/>
          <w:sz w:val="22"/>
          <w:szCs w:val="22"/>
        </w:rPr>
      </w:pPr>
      <w:r w:rsidRPr="009B503C">
        <w:rPr>
          <w:rFonts w:ascii="Palatino Linotype" w:hAnsi="Palatino Linotype"/>
          <w:color w:val="000000"/>
          <w:sz w:val="22"/>
          <w:szCs w:val="22"/>
        </w:rPr>
        <w:t>The entry fee for the Pony, Young Rider and Children on Horses qualifiers is €30.  The entry fees will be paid directly to the qualifier venue.  An invoice for the SJI Levy of €1.50 per entry will be generated and sent to the qualifier venue after the entries have closed.  A refund must be given in the case of a bona fide withdrawal.  All venues / shows are reminded that they must be affiliated to Showjumping Ireland for the current year.  </w:t>
      </w:r>
    </w:p>
    <w:p w14:paraId="3C20E086" w14:textId="77777777" w:rsidR="009B503C" w:rsidRPr="009B503C" w:rsidRDefault="009B503C" w:rsidP="009B503C">
      <w:pPr>
        <w:rPr>
          <w:rFonts w:ascii="Palatino Linotype" w:hAnsi="Palatino Linotype"/>
          <w:color w:val="000000"/>
          <w:sz w:val="22"/>
          <w:szCs w:val="22"/>
        </w:rPr>
      </w:pPr>
      <w:r w:rsidRPr="009B503C">
        <w:rPr>
          <w:rFonts w:ascii="Palatino Linotype" w:hAnsi="Palatino Linotype"/>
          <w:color w:val="000000"/>
          <w:sz w:val="22"/>
          <w:szCs w:val="22"/>
        </w:rPr>
        <w:t> </w:t>
      </w:r>
    </w:p>
    <w:p w14:paraId="54523DB2" w14:textId="77777777" w:rsidR="009B503C" w:rsidRPr="009B503C" w:rsidRDefault="009B503C" w:rsidP="009B503C">
      <w:pPr>
        <w:rPr>
          <w:rFonts w:ascii="Palatino Linotype" w:hAnsi="Palatino Linotype"/>
          <w:color w:val="000000"/>
          <w:sz w:val="22"/>
          <w:szCs w:val="22"/>
        </w:rPr>
      </w:pPr>
      <w:r w:rsidRPr="009B503C">
        <w:rPr>
          <w:rFonts w:ascii="Palatino Linotype" w:hAnsi="Palatino Linotype"/>
          <w:b/>
          <w:i/>
          <w:color w:val="000000"/>
          <w:sz w:val="22"/>
          <w:szCs w:val="22"/>
        </w:rPr>
        <w:lastRenderedPageBreak/>
        <w:t>Junior Equitation Qualifier</w:t>
      </w:r>
    </w:p>
    <w:p w14:paraId="7215C30E" w14:textId="77777777" w:rsidR="009B503C" w:rsidRPr="009B503C" w:rsidRDefault="009B503C" w:rsidP="009B503C">
      <w:pPr>
        <w:rPr>
          <w:rFonts w:ascii="Palatino Linotype" w:hAnsi="Palatino Linotype"/>
          <w:color w:val="000000"/>
          <w:sz w:val="22"/>
          <w:szCs w:val="22"/>
        </w:rPr>
      </w:pPr>
      <w:r w:rsidRPr="009B503C">
        <w:rPr>
          <w:rFonts w:ascii="Palatino Linotype" w:hAnsi="Palatino Linotype"/>
          <w:color w:val="000000"/>
          <w:sz w:val="22"/>
          <w:szCs w:val="22"/>
        </w:rPr>
        <w:t>Entries for the Junior Equitation must be made through SJI Live also as per the conditions outlined above.  </w:t>
      </w:r>
    </w:p>
    <w:p w14:paraId="47E8F7C8" w14:textId="77777777" w:rsidR="009B503C" w:rsidRPr="009B503C" w:rsidRDefault="009B503C" w:rsidP="009B503C">
      <w:pPr>
        <w:rPr>
          <w:rFonts w:ascii="Palatino Linotype" w:hAnsi="Palatino Linotype"/>
          <w:color w:val="000000"/>
          <w:sz w:val="22"/>
          <w:szCs w:val="22"/>
        </w:rPr>
      </w:pPr>
      <w:r w:rsidRPr="009B503C">
        <w:rPr>
          <w:rFonts w:ascii="Palatino Linotype" w:hAnsi="Palatino Linotype"/>
          <w:color w:val="000000"/>
          <w:sz w:val="22"/>
          <w:szCs w:val="22"/>
        </w:rPr>
        <w:t> </w:t>
      </w:r>
    </w:p>
    <w:p w14:paraId="4F768BB2" w14:textId="77777777" w:rsidR="009B503C" w:rsidRPr="009B503C" w:rsidRDefault="009B503C" w:rsidP="009B503C">
      <w:pPr>
        <w:rPr>
          <w:rFonts w:ascii="Palatino Linotype" w:hAnsi="Palatino Linotype"/>
          <w:color w:val="000000"/>
          <w:sz w:val="22"/>
          <w:szCs w:val="22"/>
        </w:rPr>
      </w:pPr>
      <w:r w:rsidRPr="009B503C">
        <w:rPr>
          <w:rFonts w:ascii="Palatino Linotype" w:hAnsi="Palatino Linotype"/>
          <w:color w:val="000000"/>
          <w:sz w:val="22"/>
          <w:szCs w:val="22"/>
        </w:rPr>
        <w:t>We ask that lunch would be provided for the RDS appointed judge and steward, the details of whom will be notified to you at a later date.  The RDS will cover the travelling expenses for the judge and steward.   </w:t>
      </w:r>
      <w:r w:rsidRPr="009B503C">
        <w:rPr>
          <w:rFonts w:ascii="Palatino Linotype" w:hAnsi="Palatino Linotype"/>
          <w:color w:val="000000"/>
          <w:sz w:val="22"/>
          <w:szCs w:val="22"/>
          <w:u w:val="single"/>
        </w:rPr>
        <w:t>It is most important that there are sufficient stewards and a scribe available to assist in the running of the qualifier, and that they are familiar with the rules and format of the class in advance.</w:t>
      </w:r>
      <w:r w:rsidRPr="009B503C">
        <w:rPr>
          <w:rFonts w:ascii="Palatino Linotype" w:hAnsi="Palatino Linotype"/>
          <w:color w:val="000000"/>
          <w:sz w:val="22"/>
          <w:szCs w:val="22"/>
        </w:rPr>
        <w:t xml:space="preserve">  </w:t>
      </w:r>
      <w:r w:rsidRPr="009B503C">
        <w:rPr>
          <w:rFonts w:ascii="Palatino Linotype" w:hAnsi="Palatino Linotype"/>
          <w:b/>
          <w:color w:val="000000"/>
          <w:sz w:val="22"/>
          <w:szCs w:val="22"/>
          <w:u w:val="single"/>
        </w:rPr>
        <w:t>Please ensure that the judge and scribe are directed to double check all scoring details before announcing the qualified combinations</w:t>
      </w:r>
      <w:r w:rsidRPr="009B503C">
        <w:rPr>
          <w:rFonts w:ascii="Palatino Linotype" w:hAnsi="Palatino Linotype"/>
          <w:color w:val="000000"/>
          <w:sz w:val="22"/>
          <w:szCs w:val="22"/>
        </w:rPr>
        <w:t>.  </w:t>
      </w:r>
    </w:p>
    <w:p w14:paraId="11DA15EA" w14:textId="77777777" w:rsidR="009B503C" w:rsidRPr="009B503C" w:rsidRDefault="009B503C" w:rsidP="009B503C">
      <w:pPr>
        <w:rPr>
          <w:rFonts w:ascii="Palatino Linotype" w:hAnsi="Palatino Linotype"/>
          <w:color w:val="000000"/>
          <w:sz w:val="22"/>
          <w:szCs w:val="22"/>
        </w:rPr>
      </w:pPr>
      <w:r w:rsidRPr="009B503C">
        <w:rPr>
          <w:rFonts w:ascii="Palatino Linotype" w:hAnsi="Palatino Linotype"/>
          <w:color w:val="000000"/>
          <w:sz w:val="22"/>
          <w:szCs w:val="22"/>
        </w:rPr>
        <w:t> </w:t>
      </w:r>
    </w:p>
    <w:p w14:paraId="76877B36" w14:textId="77777777" w:rsidR="009B503C" w:rsidRPr="009B503C" w:rsidRDefault="009B503C" w:rsidP="009B503C">
      <w:pPr>
        <w:rPr>
          <w:rFonts w:ascii="Palatino Linotype" w:hAnsi="Palatino Linotype"/>
          <w:color w:val="000000"/>
          <w:sz w:val="22"/>
          <w:szCs w:val="22"/>
        </w:rPr>
      </w:pPr>
      <w:r w:rsidRPr="009B503C">
        <w:rPr>
          <w:rFonts w:ascii="Palatino Linotype" w:hAnsi="Palatino Linotype"/>
          <w:color w:val="000000"/>
          <w:sz w:val="22"/>
          <w:szCs w:val="22"/>
        </w:rPr>
        <w:t xml:space="preserve">In addition,  we request that venues hosting the 2026 RDS Dublin Horse Show qualifiers consider the following insurance conditions outlined by the RDS and ensure that their venue complies with these requirements. </w:t>
      </w:r>
    </w:p>
    <w:p w14:paraId="468EB237" w14:textId="77777777" w:rsidR="009B503C" w:rsidRPr="009B503C" w:rsidRDefault="009B503C" w:rsidP="009B503C">
      <w:pPr>
        <w:rPr>
          <w:rFonts w:ascii="Palatino Linotype" w:hAnsi="Palatino Linotype"/>
          <w:color w:val="000000"/>
          <w:sz w:val="22"/>
          <w:szCs w:val="22"/>
        </w:rPr>
      </w:pPr>
      <w:r w:rsidRPr="009B503C">
        <w:rPr>
          <w:rFonts w:ascii="Palatino Linotype" w:hAnsi="Palatino Linotype"/>
          <w:color w:val="000000"/>
          <w:sz w:val="22"/>
          <w:szCs w:val="22"/>
        </w:rPr>
        <w:t> </w:t>
      </w:r>
    </w:p>
    <w:p w14:paraId="6B57BB86" w14:textId="77777777" w:rsidR="009B503C" w:rsidRPr="009B503C" w:rsidRDefault="009B503C" w:rsidP="009B503C">
      <w:pPr>
        <w:rPr>
          <w:rFonts w:ascii="Palatino Linotype" w:hAnsi="Palatino Linotype"/>
          <w:color w:val="000000"/>
          <w:sz w:val="22"/>
          <w:szCs w:val="22"/>
        </w:rPr>
      </w:pPr>
      <w:r w:rsidRPr="009B503C">
        <w:rPr>
          <w:rFonts w:ascii="Palatino Linotype" w:hAnsi="Palatino Linotype"/>
          <w:b/>
          <w:i/>
          <w:color w:val="000000"/>
          <w:sz w:val="22"/>
          <w:szCs w:val="22"/>
        </w:rPr>
        <w:t>Indemnity</w:t>
      </w:r>
    </w:p>
    <w:p w14:paraId="1FC1F1D4" w14:textId="77777777" w:rsidR="009B503C" w:rsidRPr="009B503C" w:rsidRDefault="009B503C" w:rsidP="009B503C">
      <w:pPr>
        <w:rPr>
          <w:rFonts w:ascii="Palatino Linotype" w:hAnsi="Palatino Linotype"/>
          <w:color w:val="000000"/>
          <w:sz w:val="22"/>
          <w:szCs w:val="22"/>
        </w:rPr>
      </w:pPr>
      <w:r w:rsidRPr="009B503C">
        <w:rPr>
          <w:rFonts w:ascii="Palatino Linotype" w:hAnsi="Palatino Linotype"/>
          <w:color w:val="000000"/>
          <w:sz w:val="22"/>
          <w:szCs w:val="22"/>
        </w:rPr>
        <w:t>You shall indemnify and keep indemnified the RDS in respect of any and all liabilities, actions, claims, costs, damages, losses or expenses of whatsoever nature and whether direct, indirect, consequential or economic arising from the Junior Equitation qualifier.  Neither the Royal Dublin Society nor any of its officers, officials or servants shall be in any way responsible or accountable for anything that may happen (from any cause of circumstance whatever) to exhibitors, competitors or their servants, or agents, or to any exhibit or property brought into the qualifier premises or for anything else in connection with, or arising out of, or attributable to, the qualification event.  </w:t>
      </w:r>
    </w:p>
    <w:p w14:paraId="6E670617" w14:textId="77777777" w:rsidR="009B503C" w:rsidRPr="009B503C" w:rsidRDefault="009B503C" w:rsidP="009B503C">
      <w:pPr>
        <w:rPr>
          <w:rFonts w:ascii="Palatino Linotype" w:hAnsi="Palatino Linotype"/>
          <w:color w:val="000000"/>
          <w:sz w:val="22"/>
          <w:szCs w:val="22"/>
        </w:rPr>
      </w:pPr>
      <w:r w:rsidRPr="009B503C">
        <w:rPr>
          <w:rFonts w:ascii="Palatino Linotype" w:hAnsi="Palatino Linotype"/>
          <w:color w:val="000000"/>
          <w:sz w:val="22"/>
          <w:szCs w:val="22"/>
        </w:rPr>
        <w:t> </w:t>
      </w:r>
    </w:p>
    <w:p w14:paraId="0161836A" w14:textId="77777777" w:rsidR="009B503C" w:rsidRPr="009B503C" w:rsidRDefault="009B503C" w:rsidP="009B503C">
      <w:pPr>
        <w:rPr>
          <w:rFonts w:ascii="Palatino Linotype" w:hAnsi="Palatino Linotype"/>
          <w:color w:val="000000"/>
          <w:sz w:val="22"/>
          <w:szCs w:val="22"/>
        </w:rPr>
      </w:pPr>
      <w:r w:rsidRPr="009B503C">
        <w:rPr>
          <w:rFonts w:ascii="Palatino Linotype" w:hAnsi="Palatino Linotype"/>
          <w:b/>
          <w:i/>
          <w:color w:val="000000"/>
          <w:sz w:val="22"/>
          <w:szCs w:val="22"/>
        </w:rPr>
        <w:t>Insurance</w:t>
      </w:r>
    </w:p>
    <w:p w14:paraId="14FB3215" w14:textId="77777777" w:rsidR="009B503C" w:rsidRPr="009B503C" w:rsidRDefault="009B503C" w:rsidP="009B503C">
      <w:pPr>
        <w:rPr>
          <w:rFonts w:ascii="Palatino Linotype" w:hAnsi="Palatino Linotype"/>
          <w:color w:val="000000"/>
          <w:sz w:val="22"/>
          <w:szCs w:val="22"/>
        </w:rPr>
      </w:pPr>
      <w:r w:rsidRPr="009B503C">
        <w:rPr>
          <w:rFonts w:ascii="Palatino Linotype" w:hAnsi="Palatino Linotype"/>
          <w:color w:val="000000"/>
          <w:sz w:val="22"/>
          <w:szCs w:val="22"/>
        </w:rPr>
        <w:t xml:space="preserve">Without prejudice or limitations to the indemnity as stated above the Venue is required to effect and maintain in respect of the period over which the qualifier takes place all appropriate / adequate insurance against all the risk normally insured against by the prudent host of such qualifying events with reputable and substantial Insurers.  The following should be included in your </w:t>
      </w:r>
      <w:proofErr w:type="gramStart"/>
      <w:r w:rsidRPr="009B503C">
        <w:rPr>
          <w:rFonts w:ascii="Palatino Linotype" w:hAnsi="Palatino Linotype"/>
          <w:color w:val="000000"/>
          <w:sz w:val="22"/>
          <w:szCs w:val="22"/>
        </w:rPr>
        <w:t>Insurance</w:t>
      </w:r>
      <w:proofErr w:type="gramEnd"/>
      <w:r w:rsidRPr="009B503C">
        <w:rPr>
          <w:rFonts w:ascii="Palatino Linotype" w:hAnsi="Palatino Linotype"/>
          <w:color w:val="000000"/>
          <w:sz w:val="22"/>
          <w:szCs w:val="22"/>
        </w:rPr>
        <w:t xml:space="preserve"> policy:</w:t>
      </w:r>
    </w:p>
    <w:p w14:paraId="03BD086E" w14:textId="77777777" w:rsidR="009B503C" w:rsidRPr="009B503C" w:rsidRDefault="009B503C" w:rsidP="009B503C">
      <w:pPr>
        <w:rPr>
          <w:rFonts w:ascii="Palatino Linotype" w:hAnsi="Palatino Linotype"/>
          <w:color w:val="000000"/>
          <w:sz w:val="22"/>
          <w:szCs w:val="22"/>
        </w:rPr>
      </w:pPr>
      <w:r w:rsidRPr="009B503C">
        <w:rPr>
          <w:rFonts w:ascii="Palatino Linotype" w:hAnsi="Palatino Linotype"/>
          <w:color w:val="000000"/>
          <w:sz w:val="22"/>
          <w:szCs w:val="22"/>
        </w:rPr>
        <w:t> </w:t>
      </w:r>
    </w:p>
    <w:p w14:paraId="05F916CE" w14:textId="77777777" w:rsidR="009B503C" w:rsidRPr="009B503C" w:rsidRDefault="009B503C" w:rsidP="009B503C">
      <w:pPr>
        <w:numPr>
          <w:ilvl w:val="0"/>
          <w:numId w:val="5"/>
        </w:numPr>
        <w:rPr>
          <w:rFonts w:ascii="Palatino Linotype" w:hAnsi="Palatino Linotype"/>
          <w:color w:val="000000"/>
          <w:sz w:val="22"/>
          <w:szCs w:val="22"/>
        </w:rPr>
      </w:pPr>
      <w:r w:rsidRPr="009B503C">
        <w:rPr>
          <w:rFonts w:ascii="Palatino Linotype" w:hAnsi="Palatino Linotype"/>
          <w:color w:val="000000"/>
          <w:sz w:val="22"/>
          <w:szCs w:val="22"/>
        </w:rPr>
        <w:t xml:space="preserve">Public / Products Liability with an indemnity limit of not less than €6.5 million any one accident / </w:t>
      </w:r>
      <w:proofErr w:type="spellStart"/>
      <w:r w:rsidRPr="009B503C">
        <w:rPr>
          <w:rFonts w:ascii="Palatino Linotype" w:hAnsi="Palatino Linotype"/>
          <w:color w:val="000000"/>
          <w:sz w:val="22"/>
          <w:szCs w:val="22"/>
        </w:rPr>
        <w:t>any one</w:t>
      </w:r>
      <w:proofErr w:type="spellEnd"/>
      <w:r w:rsidRPr="009B503C">
        <w:rPr>
          <w:rFonts w:ascii="Palatino Linotype" w:hAnsi="Palatino Linotype"/>
          <w:color w:val="000000"/>
          <w:sz w:val="22"/>
          <w:szCs w:val="22"/>
        </w:rPr>
        <w:t xml:space="preserve"> period of insurance (including Indemnity to the RDS as a joint insured and a cross-liability clause and including all appropriate protection for participants and spectators engaged in the event).</w:t>
      </w:r>
    </w:p>
    <w:p w14:paraId="3FEC8675" w14:textId="77777777" w:rsidR="009B503C" w:rsidRPr="009B503C" w:rsidRDefault="009B503C" w:rsidP="009B503C">
      <w:pPr>
        <w:numPr>
          <w:ilvl w:val="0"/>
          <w:numId w:val="5"/>
        </w:numPr>
        <w:rPr>
          <w:rFonts w:ascii="Palatino Linotype" w:hAnsi="Palatino Linotype"/>
          <w:color w:val="000000"/>
          <w:sz w:val="22"/>
          <w:szCs w:val="22"/>
        </w:rPr>
      </w:pPr>
      <w:r w:rsidRPr="009B503C">
        <w:rPr>
          <w:rFonts w:ascii="Palatino Linotype" w:hAnsi="Palatino Linotype"/>
          <w:color w:val="000000"/>
          <w:sz w:val="22"/>
          <w:szCs w:val="22"/>
        </w:rPr>
        <w:t>Employer Liability with an indemnity limit of not less than €13 million any one accident / unlimited any one period including temporary employees and Labour only subcontractors and including an appropriate indemnity to the RDS.</w:t>
      </w:r>
    </w:p>
    <w:p w14:paraId="6FEF1FBD" w14:textId="77777777" w:rsidR="009B503C" w:rsidRPr="009B503C" w:rsidRDefault="009B503C" w:rsidP="009B503C">
      <w:pPr>
        <w:numPr>
          <w:ilvl w:val="0"/>
          <w:numId w:val="5"/>
        </w:numPr>
        <w:rPr>
          <w:rFonts w:ascii="Palatino Linotype" w:hAnsi="Palatino Linotype"/>
          <w:color w:val="000000"/>
          <w:sz w:val="22"/>
          <w:szCs w:val="22"/>
        </w:rPr>
      </w:pPr>
      <w:r w:rsidRPr="009B503C">
        <w:rPr>
          <w:rFonts w:ascii="Palatino Linotype" w:hAnsi="Palatino Linotype"/>
          <w:color w:val="000000"/>
          <w:sz w:val="22"/>
          <w:szCs w:val="22"/>
        </w:rPr>
        <w:t>Judges to be treated on the Public Liability policy as Third Parties for the purpose of the event.</w:t>
      </w:r>
    </w:p>
    <w:p w14:paraId="43A1871A" w14:textId="77777777" w:rsidR="009B503C" w:rsidRPr="009B503C" w:rsidRDefault="009B503C" w:rsidP="009B503C">
      <w:pPr>
        <w:rPr>
          <w:rFonts w:ascii="Palatino Linotype" w:hAnsi="Palatino Linotype"/>
          <w:color w:val="000000"/>
          <w:sz w:val="22"/>
          <w:szCs w:val="22"/>
        </w:rPr>
      </w:pPr>
      <w:r w:rsidRPr="009B503C">
        <w:rPr>
          <w:rFonts w:ascii="Palatino Linotype" w:hAnsi="Palatino Linotype"/>
          <w:color w:val="000000"/>
          <w:sz w:val="22"/>
          <w:szCs w:val="22"/>
        </w:rPr>
        <w:br/>
      </w:r>
      <w:bookmarkStart w:id="3" w:name="_Hlk71878810"/>
      <w:r w:rsidRPr="009B503C">
        <w:rPr>
          <w:rFonts w:ascii="Palatino Linotype" w:hAnsi="Palatino Linotype"/>
          <w:color w:val="000000"/>
          <w:sz w:val="22"/>
          <w:szCs w:val="22"/>
        </w:rPr>
        <w:t>Please confirm before 5pm on Monday, the 22</w:t>
      </w:r>
      <w:r w:rsidRPr="009B503C">
        <w:rPr>
          <w:rFonts w:ascii="Palatino Linotype" w:hAnsi="Palatino Linotype"/>
          <w:color w:val="000000"/>
          <w:sz w:val="22"/>
          <w:szCs w:val="22"/>
          <w:vertAlign w:val="superscript"/>
        </w:rPr>
        <w:t>nd</w:t>
      </w:r>
      <w:r w:rsidRPr="009B503C">
        <w:rPr>
          <w:rFonts w:ascii="Palatino Linotype" w:hAnsi="Palatino Linotype"/>
          <w:color w:val="000000"/>
          <w:sz w:val="22"/>
          <w:szCs w:val="22"/>
        </w:rPr>
        <w:t xml:space="preserve"> of December if you will host the above qualifiers, under the conditions as outlined above, by clicking the ‘ACCEPT’ button below.  </w:t>
      </w:r>
      <w:bookmarkEnd w:id="3"/>
    </w:p>
    <w:p w14:paraId="26C8CA96" w14:textId="77777777" w:rsidR="009B503C" w:rsidRPr="009B503C" w:rsidRDefault="009B503C" w:rsidP="009B503C">
      <w:pPr>
        <w:rPr>
          <w:rFonts w:ascii="Palatino Linotype" w:hAnsi="Palatino Linotype"/>
          <w:color w:val="000000"/>
          <w:sz w:val="22"/>
          <w:szCs w:val="22"/>
        </w:rPr>
      </w:pPr>
      <w:r w:rsidRPr="009B503C">
        <w:rPr>
          <w:rFonts w:ascii="Palatino Linotype" w:hAnsi="Palatino Linotype"/>
          <w:color w:val="000000"/>
          <w:sz w:val="22"/>
          <w:szCs w:val="22"/>
        </w:rPr>
        <w:t> </w:t>
      </w:r>
    </w:p>
    <w:p w14:paraId="30555EE3" w14:textId="13CBDC7B" w:rsidR="00384511" w:rsidRPr="00BF3D24" w:rsidRDefault="009B503C">
      <w:pPr>
        <w:rPr>
          <w:sz w:val="22"/>
          <w:szCs w:val="22"/>
        </w:rPr>
      </w:pPr>
      <w:r w:rsidRPr="009B503C">
        <w:rPr>
          <w:rFonts w:ascii="Palatino Linotype" w:hAnsi="Palatino Linotype"/>
          <w:color w:val="000000"/>
          <w:sz w:val="22"/>
          <w:szCs w:val="22"/>
        </w:rPr>
        <w:t xml:space="preserve">If you have any queries, please email </w:t>
      </w:r>
      <w:hyperlink r:id="rId5" w:history="1">
        <w:r w:rsidRPr="009B503C">
          <w:rPr>
            <w:rStyle w:val="Hyperlink"/>
            <w:rFonts w:ascii="Palatino Linotype" w:hAnsi="Palatino Linotype"/>
            <w:sz w:val="22"/>
            <w:szCs w:val="22"/>
          </w:rPr>
          <w:t>fiona.sheridan@rds.ie</w:t>
        </w:r>
      </w:hyperlink>
      <w:bookmarkEnd w:id="0"/>
      <w:bookmarkEnd w:id="1"/>
    </w:p>
    <w:sectPr w:rsidR="00384511" w:rsidRPr="00BF3D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486"/>
    <w:multiLevelType w:val="hybridMultilevel"/>
    <w:tmpl w:val="4410A798"/>
    <w:lvl w:ilvl="0" w:tplc="5F50E3A2">
      <w:start w:val="6"/>
      <w:numFmt w:val="bullet"/>
      <w:lvlText w:val="-"/>
      <w:lvlJc w:val="left"/>
      <w:pPr>
        <w:ind w:left="720" w:hanging="360"/>
      </w:pPr>
      <w:rPr>
        <w:rFonts w:ascii="Book Antiqua" w:eastAsia="Times New Roman" w:hAnsi="Book Antiqua"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3D5D9EE7"/>
    <w:multiLevelType w:val="hybridMultilevel"/>
    <w:tmpl w:val="FFFFFFFF"/>
    <w:lvl w:ilvl="0" w:tplc="34BC1507">
      <w:start w:val="1"/>
      <w:numFmt w:val="lowerLetter"/>
      <w:lvlText w:val="%1."/>
      <w:lvlJc w:val="left"/>
    </w:lvl>
    <w:lvl w:ilvl="1" w:tplc="703761C5">
      <w:start w:val="1"/>
      <w:numFmt w:val="decimal"/>
      <w:lvlText w:val="%2."/>
      <w:lvlJc w:val="left"/>
      <w:pPr>
        <w:ind w:left="1440" w:hanging="360"/>
      </w:pPr>
    </w:lvl>
    <w:lvl w:ilvl="2" w:tplc="5A977A8E">
      <w:start w:val="1"/>
      <w:numFmt w:val="decimal"/>
      <w:lvlText w:val="%3."/>
      <w:lvlJc w:val="left"/>
      <w:pPr>
        <w:ind w:left="2160" w:hanging="360"/>
      </w:pPr>
    </w:lvl>
    <w:lvl w:ilvl="3" w:tplc="7A021508">
      <w:start w:val="1"/>
      <w:numFmt w:val="decimal"/>
      <w:lvlText w:val="%4."/>
      <w:lvlJc w:val="left"/>
      <w:pPr>
        <w:ind w:left="2880" w:hanging="360"/>
      </w:pPr>
    </w:lvl>
    <w:lvl w:ilvl="4" w:tplc="08C48B1E">
      <w:start w:val="1"/>
      <w:numFmt w:val="decimal"/>
      <w:lvlText w:val="%5."/>
      <w:lvlJc w:val="left"/>
      <w:pPr>
        <w:ind w:left="3600" w:hanging="360"/>
      </w:pPr>
    </w:lvl>
    <w:lvl w:ilvl="5" w:tplc="045838A8">
      <w:start w:val="1"/>
      <w:numFmt w:val="decimal"/>
      <w:lvlText w:val="%6."/>
      <w:lvlJc w:val="left"/>
      <w:pPr>
        <w:ind w:left="4320" w:hanging="360"/>
      </w:pPr>
    </w:lvl>
    <w:lvl w:ilvl="6" w:tplc="485257FC">
      <w:start w:val="1"/>
      <w:numFmt w:val="decimal"/>
      <w:lvlText w:val="%7."/>
      <w:lvlJc w:val="left"/>
      <w:pPr>
        <w:ind w:left="5040" w:hanging="360"/>
      </w:pPr>
    </w:lvl>
    <w:lvl w:ilvl="7" w:tplc="2C0D301D">
      <w:start w:val="1"/>
      <w:numFmt w:val="decimal"/>
      <w:lvlText w:val="%8."/>
      <w:lvlJc w:val="left"/>
      <w:pPr>
        <w:ind w:left="5760" w:hanging="360"/>
      </w:pPr>
    </w:lvl>
    <w:lvl w:ilvl="8" w:tplc="1587BE3D">
      <w:start w:val="1"/>
      <w:numFmt w:val="decimal"/>
      <w:lvlText w:val="%9."/>
      <w:lvlJc w:val="left"/>
      <w:pPr>
        <w:ind w:left="6480" w:hanging="360"/>
      </w:pPr>
    </w:lvl>
  </w:abstractNum>
  <w:abstractNum w:abstractNumId="2" w15:restartNumberingAfterBreak="0">
    <w:nsid w:val="46F96739"/>
    <w:multiLevelType w:val="hybridMultilevel"/>
    <w:tmpl w:val="FFFFFFFF"/>
    <w:lvl w:ilvl="0" w:tplc="10DD14D2">
      <w:start w:val="2"/>
      <w:numFmt w:val="lowerLetter"/>
      <w:lvlText w:val="%1."/>
      <w:lvlJc w:val="left"/>
    </w:lvl>
    <w:lvl w:ilvl="1" w:tplc="2A902566">
      <w:start w:val="1"/>
      <w:numFmt w:val="decimal"/>
      <w:lvlText w:val="%2."/>
      <w:lvlJc w:val="left"/>
      <w:pPr>
        <w:ind w:left="1440" w:hanging="360"/>
      </w:pPr>
    </w:lvl>
    <w:lvl w:ilvl="2" w:tplc="539C72B2">
      <w:start w:val="1"/>
      <w:numFmt w:val="decimal"/>
      <w:lvlText w:val="%3."/>
      <w:lvlJc w:val="left"/>
      <w:pPr>
        <w:ind w:left="2160" w:hanging="360"/>
      </w:pPr>
    </w:lvl>
    <w:lvl w:ilvl="3" w:tplc="546C6947">
      <w:start w:val="1"/>
      <w:numFmt w:val="decimal"/>
      <w:lvlText w:val="%4."/>
      <w:lvlJc w:val="left"/>
      <w:pPr>
        <w:ind w:left="2880" w:hanging="360"/>
      </w:pPr>
    </w:lvl>
    <w:lvl w:ilvl="4" w:tplc="717C7C01">
      <w:start w:val="1"/>
      <w:numFmt w:val="decimal"/>
      <w:lvlText w:val="%5."/>
      <w:lvlJc w:val="left"/>
      <w:pPr>
        <w:ind w:left="3600" w:hanging="360"/>
      </w:pPr>
    </w:lvl>
    <w:lvl w:ilvl="5" w:tplc="7D3A35E4">
      <w:start w:val="1"/>
      <w:numFmt w:val="decimal"/>
      <w:lvlText w:val="%6."/>
      <w:lvlJc w:val="left"/>
      <w:pPr>
        <w:ind w:left="4320" w:hanging="360"/>
      </w:pPr>
    </w:lvl>
    <w:lvl w:ilvl="6" w:tplc="0C3956FB">
      <w:start w:val="1"/>
      <w:numFmt w:val="decimal"/>
      <w:lvlText w:val="%7."/>
      <w:lvlJc w:val="left"/>
      <w:pPr>
        <w:ind w:left="5040" w:hanging="360"/>
      </w:pPr>
    </w:lvl>
    <w:lvl w:ilvl="7" w:tplc="5FD143C1">
      <w:start w:val="1"/>
      <w:numFmt w:val="decimal"/>
      <w:lvlText w:val="%8."/>
      <w:lvlJc w:val="left"/>
      <w:pPr>
        <w:ind w:left="5760" w:hanging="360"/>
      </w:pPr>
    </w:lvl>
    <w:lvl w:ilvl="8" w:tplc="4A9FF079">
      <w:start w:val="1"/>
      <w:numFmt w:val="decimal"/>
      <w:lvlText w:val="%9."/>
      <w:lvlJc w:val="left"/>
      <w:pPr>
        <w:ind w:left="6480" w:hanging="360"/>
      </w:pPr>
    </w:lvl>
  </w:abstractNum>
  <w:abstractNum w:abstractNumId="3" w15:restartNumberingAfterBreak="0">
    <w:nsid w:val="4B1DEA12"/>
    <w:multiLevelType w:val="hybridMultilevel"/>
    <w:tmpl w:val="FFFFFFFF"/>
    <w:lvl w:ilvl="0" w:tplc="29A98B0A">
      <w:start w:val="1"/>
      <w:numFmt w:val="bullet"/>
      <w:lvlText w:val="·"/>
      <w:lvlJc w:val="left"/>
      <w:pPr>
        <w:ind w:left="720" w:hanging="360"/>
      </w:pPr>
      <w:rPr>
        <w:rFonts w:ascii="Symbol" w:eastAsia="Times New Roman" w:hAnsi="Symbol" w:cs="Symbol"/>
      </w:rPr>
    </w:lvl>
    <w:lvl w:ilvl="1" w:tplc="24B8DFF4">
      <w:start w:val="1"/>
      <w:numFmt w:val="bullet"/>
      <w:lvlText w:val="o"/>
      <w:lvlJc w:val="left"/>
      <w:pPr>
        <w:ind w:left="1440" w:hanging="360"/>
      </w:pPr>
      <w:rPr>
        <w:rFonts w:ascii="Symbol" w:hAnsi="Symbol"/>
      </w:rPr>
    </w:lvl>
    <w:lvl w:ilvl="2" w:tplc="49313A99">
      <w:start w:val="1"/>
      <w:numFmt w:val="bullet"/>
      <w:lvlText w:val="·"/>
      <w:lvlJc w:val="left"/>
      <w:pPr>
        <w:ind w:left="2160" w:hanging="360"/>
      </w:pPr>
      <w:rPr>
        <w:rFonts w:ascii="Symbol" w:hAnsi="Symbol"/>
      </w:rPr>
    </w:lvl>
    <w:lvl w:ilvl="3" w:tplc="520C5618">
      <w:start w:val="1"/>
      <w:numFmt w:val="bullet"/>
      <w:lvlText w:val="o"/>
      <w:lvlJc w:val="left"/>
      <w:pPr>
        <w:ind w:left="2880" w:hanging="360"/>
      </w:pPr>
      <w:rPr>
        <w:rFonts w:ascii="Symbol" w:hAnsi="Symbol"/>
      </w:rPr>
    </w:lvl>
    <w:lvl w:ilvl="4" w:tplc="7A18466A">
      <w:start w:val="1"/>
      <w:numFmt w:val="bullet"/>
      <w:lvlText w:val="·"/>
      <w:lvlJc w:val="left"/>
      <w:pPr>
        <w:ind w:left="3600" w:hanging="360"/>
      </w:pPr>
      <w:rPr>
        <w:rFonts w:ascii="Symbol" w:hAnsi="Symbol"/>
      </w:rPr>
    </w:lvl>
    <w:lvl w:ilvl="5" w:tplc="0EE4162E">
      <w:start w:val="1"/>
      <w:numFmt w:val="bullet"/>
      <w:lvlText w:val="o"/>
      <w:lvlJc w:val="left"/>
      <w:pPr>
        <w:ind w:left="4320" w:hanging="360"/>
      </w:pPr>
      <w:rPr>
        <w:rFonts w:ascii="Symbol" w:hAnsi="Symbol"/>
      </w:rPr>
    </w:lvl>
    <w:lvl w:ilvl="6" w:tplc="151BB4FD">
      <w:start w:val="1"/>
      <w:numFmt w:val="bullet"/>
      <w:lvlText w:val="·"/>
      <w:lvlJc w:val="left"/>
      <w:pPr>
        <w:ind w:left="5040" w:hanging="360"/>
      </w:pPr>
      <w:rPr>
        <w:rFonts w:ascii="Symbol" w:hAnsi="Symbol"/>
      </w:rPr>
    </w:lvl>
    <w:lvl w:ilvl="7" w:tplc="4305BD4E">
      <w:start w:val="1"/>
      <w:numFmt w:val="bullet"/>
      <w:lvlText w:val="o"/>
      <w:lvlJc w:val="left"/>
      <w:pPr>
        <w:ind w:left="5760" w:hanging="360"/>
      </w:pPr>
      <w:rPr>
        <w:rFonts w:ascii="Symbol" w:hAnsi="Symbol"/>
      </w:rPr>
    </w:lvl>
    <w:lvl w:ilvl="8" w:tplc="4D9B9188">
      <w:start w:val="1"/>
      <w:numFmt w:val="bullet"/>
      <w:lvlText w:val="·"/>
      <w:lvlJc w:val="left"/>
      <w:pPr>
        <w:ind w:left="6480" w:hanging="360"/>
      </w:pPr>
      <w:rPr>
        <w:rFonts w:ascii="Symbol" w:hAnsi="Symbol"/>
      </w:rPr>
    </w:lvl>
  </w:abstractNum>
  <w:abstractNum w:abstractNumId="4" w15:restartNumberingAfterBreak="0">
    <w:nsid w:val="5EED6C99"/>
    <w:multiLevelType w:val="hybridMultilevel"/>
    <w:tmpl w:val="F1003288"/>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16cid:durableId="241524549">
    <w:abstractNumId w:val="0"/>
  </w:num>
  <w:num w:numId="2" w16cid:durableId="5614057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3713207">
    <w:abstractNumId w:val="1"/>
  </w:num>
  <w:num w:numId="4" w16cid:durableId="302270920">
    <w:abstractNumId w:val="2"/>
  </w:num>
  <w:num w:numId="5" w16cid:durableId="1186747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A77"/>
    <w:rsid w:val="00016081"/>
    <w:rsid w:val="001B4A84"/>
    <w:rsid w:val="00240697"/>
    <w:rsid w:val="00250A77"/>
    <w:rsid w:val="002512DF"/>
    <w:rsid w:val="00384511"/>
    <w:rsid w:val="004B1D39"/>
    <w:rsid w:val="00510E1E"/>
    <w:rsid w:val="005320BA"/>
    <w:rsid w:val="005C30B3"/>
    <w:rsid w:val="00642022"/>
    <w:rsid w:val="0073246C"/>
    <w:rsid w:val="008B217C"/>
    <w:rsid w:val="0099245F"/>
    <w:rsid w:val="009B503C"/>
    <w:rsid w:val="00A25D34"/>
    <w:rsid w:val="00BF3D24"/>
    <w:rsid w:val="00BF7388"/>
    <w:rsid w:val="00C66848"/>
    <w:rsid w:val="00EE7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3E2D0"/>
  <w15:chartTrackingRefBased/>
  <w15:docId w15:val="{D96DDC60-1079-47D9-BEE1-2885E2BB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D24"/>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250A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A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A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A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A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A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A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A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A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A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A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A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A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A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A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A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A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A77"/>
    <w:rPr>
      <w:rFonts w:eastAsiaTheme="majorEastAsia" w:cstheme="majorBidi"/>
      <w:color w:val="272727" w:themeColor="text1" w:themeTint="D8"/>
    </w:rPr>
  </w:style>
  <w:style w:type="paragraph" w:styleId="Title">
    <w:name w:val="Title"/>
    <w:basedOn w:val="Normal"/>
    <w:next w:val="Normal"/>
    <w:link w:val="TitleChar"/>
    <w:uiPriority w:val="10"/>
    <w:qFormat/>
    <w:rsid w:val="00250A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A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A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A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A77"/>
    <w:pPr>
      <w:spacing w:before="160"/>
      <w:jc w:val="center"/>
    </w:pPr>
    <w:rPr>
      <w:i/>
      <w:iCs/>
      <w:color w:val="404040" w:themeColor="text1" w:themeTint="BF"/>
    </w:rPr>
  </w:style>
  <w:style w:type="character" w:customStyle="1" w:styleId="QuoteChar">
    <w:name w:val="Quote Char"/>
    <w:basedOn w:val="DefaultParagraphFont"/>
    <w:link w:val="Quote"/>
    <w:uiPriority w:val="29"/>
    <w:rsid w:val="00250A77"/>
    <w:rPr>
      <w:i/>
      <w:iCs/>
      <w:color w:val="404040" w:themeColor="text1" w:themeTint="BF"/>
    </w:rPr>
  </w:style>
  <w:style w:type="paragraph" w:styleId="ListParagraph">
    <w:name w:val="List Paragraph"/>
    <w:basedOn w:val="Normal"/>
    <w:uiPriority w:val="34"/>
    <w:qFormat/>
    <w:rsid w:val="00250A77"/>
    <w:pPr>
      <w:ind w:left="720"/>
      <w:contextualSpacing/>
    </w:pPr>
  </w:style>
  <w:style w:type="character" w:styleId="IntenseEmphasis">
    <w:name w:val="Intense Emphasis"/>
    <w:basedOn w:val="DefaultParagraphFont"/>
    <w:uiPriority w:val="21"/>
    <w:qFormat/>
    <w:rsid w:val="00250A77"/>
    <w:rPr>
      <w:i/>
      <w:iCs/>
      <w:color w:val="0F4761" w:themeColor="accent1" w:themeShade="BF"/>
    </w:rPr>
  </w:style>
  <w:style w:type="paragraph" w:styleId="IntenseQuote">
    <w:name w:val="Intense Quote"/>
    <w:basedOn w:val="Normal"/>
    <w:next w:val="Normal"/>
    <w:link w:val="IntenseQuoteChar"/>
    <w:uiPriority w:val="30"/>
    <w:qFormat/>
    <w:rsid w:val="00250A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A77"/>
    <w:rPr>
      <w:i/>
      <w:iCs/>
      <w:color w:val="0F4761" w:themeColor="accent1" w:themeShade="BF"/>
    </w:rPr>
  </w:style>
  <w:style w:type="character" w:styleId="IntenseReference">
    <w:name w:val="Intense Reference"/>
    <w:basedOn w:val="DefaultParagraphFont"/>
    <w:uiPriority w:val="32"/>
    <w:qFormat/>
    <w:rsid w:val="00250A77"/>
    <w:rPr>
      <w:b/>
      <w:bCs/>
      <w:smallCaps/>
      <w:color w:val="0F4761" w:themeColor="accent1" w:themeShade="BF"/>
      <w:spacing w:val="5"/>
    </w:rPr>
  </w:style>
  <w:style w:type="character" w:styleId="Hyperlink">
    <w:name w:val="Hyperlink"/>
    <w:unhideWhenUsed/>
    <w:rsid w:val="00BF3D24"/>
    <w:rPr>
      <w:color w:val="0000FF"/>
      <w:u w:val="single"/>
    </w:rPr>
  </w:style>
  <w:style w:type="character" w:styleId="UnresolvedMention">
    <w:name w:val="Unresolved Mention"/>
    <w:basedOn w:val="DefaultParagraphFont"/>
    <w:uiPriority w:val="99"/>
    <w:semiHidden/>
    <w:unhideWhenUsed/>
    <w:rsid w:val="005C3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05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iona.sheridan@rds.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954</Words>
  <Characters>5438</Characters>
  <Application>Microsoft Office Word</Application>
  <DocSecurity>0</DocSecurity>
  <Lines>45</Lines>
  <Paragraphs>12</Paragraphs>
  <ScaleCrop>false</ScaleCrop>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Sheridan</dc:creator>
  <cp:keywords/>
  <dc:description/>
  <cp:lastModifiedBy>Thomas Dunbar</cp:lastModifiedBy>
  <cp:revision>12</cp:revision>
  <dcterms:created xsi:type="dcterms:W3CDTF">2024-12-11T12:25:00Z</dcterms:created>
  <dcterms:modified xsi:type="dcterms:W3CDTF">2025-12-18T18:02:00Z</dcterms:modified>
</cp:coreProperties>
</file>